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ED" w:rsidRDefault="00CD5D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b/>
          <w:sz w:val="22"/>
          <w:szCs w:val="22"/>
        </w:rPr>
      </w:pPr>
      <w:bookmarkStart w:id="0" w:name="_heading=h.jhs9b0kqed80" w:colFirst="0" w:colLast="0"/>
      <w:bookmarkEnd w:id="0"/>
    </w:p>
    <w:p w:rsidR="00CD5DED" w:rsidRDefault="00213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1" w:name="_heading=h.re733v3o83rl" w:colFirst="0" w:colLast="0"/>
      <w:bookmarkEnd w:id="1"/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color w:val="000000"/>
          <w:sz w:val="22"/>
          <w:szCs w:val="22"/>
        </w:rPr>
        <w:t>UÍA DE TRABAJO N°1</w:t>
      </w:r>
      <w:r>
        <w:rPr>
          <w:rFonts w:ascii="Arial" w:eastAsia="Arial" w:hAnsi="Arial" w:cs="Arial"/>
          <w:b/>
          <w:color w:val="000000"/>
          <w:sz w:val="22"/>
          <w:szCs w:val="22"/>
        </w:rPr>
        <w:br/>
        <w:t>“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Recepción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Molienda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Uva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Vinífera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>”</w:t>
      </w:r>
    </w:p>
    <w:p w:rsidR="00626A30" w:rsidRDefault="00626A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626A30" w:rsidRDefault="00626A30" w:rsidP="00626A30">
      <w:pPr>
        <w:rPr>
          <w:lang w:val="es-CL" w:eastAsia="es-C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3"/>
        <w:gridCol w:w="5477"/>
      </w:tblGrid>
      <w:tr w:rsidR="00626A30" w:rsidTr="00626A30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626A30" w:rsidRDefault="00626A3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de la Actividad de Aprendizaje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626A30" w:rsidRDefault="00626A3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Recepción de uva vinífera y preparación de maquinarias e insumos vitivinícolas</w:t>
            </w:r>
          </w:p>
        </w:tc>
      </w:tr>
      <w:tr w:rsidR="00626A30" w:rsidTr="00626A30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626A30" w:rsidRDefault="00626A3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Especialidad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626A30" w:rsidRDefault="00626A3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Agropecuaria</w:t>
            </w:r>
          </w:p>
        </w:tc>
      </w:tr>
      <w:tr w:rsidR="00626A30" w:rsidTr="00626A30">
        <w:trPr>
          <w:trHeight w:val="2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626A30" w:rsidRDefault="00626A3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Mención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626A30" w:rsidRDefault="00626A3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Vitivinícola</w:t>
            </w:r>
          </w:p>
        </w:tc>
      </w:tr>
      <w:tr w:rsidR="00626A30" w:rsidTr="00626A30">
        <w:trPr>
          <w:trHeight w:val="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626A30" w:rsidRDefault="00626A3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Módulo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626A30" w:rsidRDefault="00626A3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Cosecha y transporte de vides</w:t>
            </w:r>
          </w:p>
        </w:tc>
      </w:tr>
      <w:tr w:rsidR="00626A30" w:rsidTr="00626A30">
        <w:trPr>
          <w:trHeight w:val="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626A30" w:rsidRDefault="00626A3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Duración de la actividad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626A30" w:rsidRDefault="00626A3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horas</w:t>
            </w:r>
          </w:p>
        </w:tc>
      </w:tr>
      <w:tr w:rsidR="00626A30" w:rsidTr="00626A30">
        <w:trPr>
          <w:trHeight w:val="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626A30" w:rsidRDefault="00626A3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Observaciones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626A30" w:rsidRDefault="00626A3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Actividad evaluada de manera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sumativa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 rúbrica de evaluación</w:t>
            </w:r>
          </w:p>
        </w:tc>
      </w:tr>
      <w:tr w:rsidR="00626A30" w:rsidTr="00626A30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626A30" w:rsidRDefault="00626A3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Objetivos de Aprendizaje Técnicos</w:t>
            </w:r>
          </w:p>
        </w:tc>
      </w:tr>
      <w:tr w:rsidR="00626A30" w:rsidTr="00626A30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626A30" w:rsidRDefault="00626A30"/>
          <w:p w:rsidR="00626A30" w:rsidRDefault="00626A3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OA 2</w:t>
            </w:r>
          </w:p>
          <w:p w:rsidR="00626A30" w:rsidRDefault="00626A3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Ejecutar procedimientos de cosecha, transporte y acondicionamiento de la uva para realizar el proceso de molienda de acuerdo a las buenas prácticas de manufactura para el proceso de vinificación.</w:t>
            </w:r>
          </w:p>
        </w:tc>
      </w:tr>
      <w:tr w:rsidR="00626A30" w:rsidTr="00626A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626A30" w:rsidRDefault="00626A3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Objetivos de Aprendizaje Genéricos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626A30" w:rsidRDefault="00626A3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Dimensiones y habilidades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Marco de Cualificaciones Técnico Profesional</w:t>
            </w:r>
          </w:p>
        </w:tc>
      </w:tr>
      <w:tr w:rsidR="00626A30" w:rsidTr="00626A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626A30" w:rsidRDefault="00626A3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OAG_A: Se comunica oralmente y por escrito con claridad, utilizando registros de habla y de escritura pertinentes a la situación laboral y a la relación con los interlocutores</w:t>
            </w:r>
          </w:p>
          <w:p w:rsidR="00626A30" w:rsidRDefault="00626A3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OAG_B: Leer y utilizar distintos tipos de textos relacionados con el trabajo, tales como especificaciones técnicas, normativas diversas, legislación laboral, así como noticias y artículos que enriquezcan su experiencia laboral.</w:t>
            </w:r>
          </w:p>
          <w:p w:rsidR="00626A30" w:rsidRDefault="00626A3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OAG_C: Realiza las tareas de manera prolija, cumpliendo plazos establecidos y estándares de calidad, y buscando alternativas y soluciones cuando se presentan problemas pertinentes a las funciones desempeñadas</w:t>
            </w:r>
          </w:p>
          <w:p w:rsidR="00626A30" w:rsidRDefault="00626A3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OAG_D: Trabajar eficazmente en equipo, coordinando acciones con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otros in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situ o a distancia, solicitando y prestando cooperación para el buen cumplimiento de sus tareas habituales o emergentes.</w:t>
            </w:r>
          </w:p>
          <w:p w:rsidR="00626A30" w:rsidRDefault="00626A3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OAG_E: Tratar con respeto a subordinados, superiores, colegas, clientes, personas con discapacidades, sin hacer distinciones de género, de clase social, de etnias u otras.</w:t>
            </w:r>
          </w:p>
          <w:p w:rsidR="00626A30" w:rsidRDefault="00626A3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626A30" w:rsidRDefault="00626A3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TCO3: Trabaja colaborativamente en actividades y funciones coordinándose con otros en diversos contextos.</w:t>
            </w:r>
          </w:p>
          <w:p w:rsidR="00626A30" w:rsidRDefault="00626A3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UDR3: Selecciona y utiliza materiales, herramientas y equipamiento para responder a una necesidad propia de una actividad o función especializada en contextos conocidos.</w:t>
            </w:r>
          </w:p>
          <w:p w:rsidR="00626A30" w:rsidRDefault="00626A3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AUT3: Se desempeña con autonomía en actividades y funciones especializadas en diversos contextos con supervisión directa.</w:t>
            </w:r>
          </w:p>
        </w:tc>
      </w:tr>
      <w:tr w:rsidR="00626A30" w:rsidTr="00626A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626A30" w:rsidRDefault="00626A3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Aprendizajes esperados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626A30" w:rsidRDefault="00626A3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Criterios de Evaluación</w:t>
            </w:r>
          </w:p>
        </w:tc>
      </w:tr>
      <w:tr w:rsidR="00626A30" w:rsidTr="00626A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626A30" w:rsidRDefault="00626A3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AE_1: Cosecha y transporta uva para realizar el proceso de molienda según el plan de cosecha, estándares de calidad y normativas vigentes.</w:t>
            </w:r>
          </w:p>
          <w:p w:rsidR="00626A30" w:rsidRDefault="00626A30"/>
          <w:p w:rsidR="00626A30" w:rsidRDefault="00626A3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AE_2:   </w:t>
            </w:r>
            <w:proofErr w:type="spellStart"/>
            <w:r>
              <w:rPr>
                <w:rFonts w:ascii="Arial" w:hAnsi="Arial" w:cs="Arial"/>
                <w:color w:val="000000"/>
              </w:rPr>
              <w:t>Recepciona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y acondiciona uvas en la empresa de vinos, según Buenas Prácticas de Manufactura (BPM).</w:t>
            </w:r>
          </w:p>
          <w:p w:rsidR="00626A30" w:rsidRDefault="00626A30"/>
          <w:p w:rsidR="00626A30" w:rsidRDefault="00626A3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AE_3:   Aplica labores del proceso de despalillado, molienda y prensado de uvas, según Buenas Prácticas de Manufactura (BPM).</w:t>
            </w:r>
          </w:p>
          <w:p w:rsidR="00626A30" w:rsidRDefault="00626A3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626A30" w:rsidRDefault="00626A30">
            <w:pPr>
              <w:pStyle w:val="NormalWeb"/>
              <w:spacing w:before="0" w:beforeAutospacing="0" w:after="16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1.1 Cosecha en el momento idóneo de acuerdo con estándares de calidad establecidos, estado vegetativo, variedad e índices de cosecha de vides, según el objetivo de producción y potenciando un adecuado trabajo en equipo.</w:t>
            </w:r>
          </w:p>
          <w:p w:rsidR="00626A30" w:rsidRDefault="00626A30">
            <w:pPr>
              <w:pStyle w:val="NormalWeb"/>
              <w:spacing w:before="0" w:beforeAutospacing="0" w:after="16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1.2 Determina las condiciones de transporte necesarias según cepa y normativa vigente, garantizando la calidad del producto.</w:t>
            </w:r>
          </w:p>
          <w:p w:rsidR="00626A30" w:rsidRDefault="00626A30">
            <w:pPr>
              <w:pStyle w:val="NormalWeb"/>
              <w:spacing w:before="0" w:beforeAutospacing="0" w:after="16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1.3 Registra parámetros de calidad e individuos responsables en formatos establecidos.</w:t>
            </w:r>
          </w:p>
        </w:tc>
      </w:tr>
      <w:tr w:rsidR="00626A30" w:rsidTr="00626A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626A30" w:rsidRDefault="00626A30">
            <w:pPr>
              <w:pStyle w:val="NormalWeb"/>
              <w:spacing w:before="0" w:beforeAutospacing="0" w:after="0" w:afterAutospacing="0"/>
              <w:ind w:left="36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Metodologías Seleccionadas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626A30" w:rsidRDefault="00626A3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Actividades prácticas en terreno </w:t>
            </w:r>
          </w:p>
          <w:p w:rsidR="00626A30" w:rsidRDefault="00626A3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Aprendizaje Basado en problemas</w:t>
            </w:r>
          </w:p>
          <w:p w:rsidR="00626A30" w:rsidRDefault="00626A3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Demostración guiada</w:t>
            </w:r>
          </w:p>
          <w:p w:rsidR="00626A30" w:rsidRDefault="00626A3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Trabajo colaborativo.</w:t>
            </w:r>
          </w:p>
        </w:tc>
      </w:tr>
    </w:tbl>
    <w:p w:rsidR="00626A30" w:rsidRDefault="00626A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2" w:name="_GoBack"/>
      <w:bookmarkEnd w:id="2"/>
    </w:p>
    <w:p w:rsidR="00CD5DED" w:rsidRDefault="00CD5D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Arial" w:eastAsia="Arial" w:hAnsi="Arial" w:cs="Arial"/>
          <w:b/>
          <w:sz w:val="22"/>
          <w:szCs w:val="22"/>
        </w:rPr>
      </w:pPr>
      <w:bookmarkStart w:id="3" w:name="_heading=h.amhu3iwn8mm1" w:colFirst="0" w:colLast="0"/>
      <w:bookmarkEnd w:id="3"/>
    </w:p>
    <w:p w:rsidR="00CD5DED" w:rsidRDefault="00CD5D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Arial" w:eastAsia="Arial" w:hAnsi="Arial" w:cs="Arial"/>
          <w:b/>
          <w:sz w:val="22"/>
          <w:szCs w:val="22"/>
        </w:rPr>
      </w:pPr>
      <w:bookmarkStart w:id="4" w:name="_heading=h.e8egstw45o4h" w:colFirst="0" w:colLast="0"/>
      <w:bookmarkEnd w:id="4"/>
    </w:p>
    <w:p w:rsidR="00CD5DED" w:rsidRDefault="00CD5D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:rsidR="00CD5DED" w:rsidRDefault="00CD5D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:rsidR="00CD5DED" w:rsidRDefault="002131C0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/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Instrucciones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Generales</w:t>
      </w:r>
      <w:proofErr w:type="spellEnd"/>
    </w:p>
    <w:tbl>
      <w:tblPr>
        <w:tblStyle w:val="a1"/>
        <w:tblW w:w="11150" w:type="dxa"/>
        <w:tblLayout w:type="fixed"/>
        <w:tblLook w:val="0400" w:firstRow="0" w:lastRow="0" w:firstColumn="0" w:lastColumn="0" w:noHBand="0" w:noVBand="1"/>
      </w:tblPr>
      <w:tblGrid>
        <w:gridCol w:w="11150"/>
      </w:tblGrid>
      <w:tr w:rsidR="00CD5DED">
        <w:tc>
          <w:tcPr>
            <w:tcW w:w="1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ED" w:rsidRDefault="002131C0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presente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guía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trabajo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“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Reception y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Molienda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uva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vinifera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”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parte del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módulo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Cosecha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Transporte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Vides,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cuyo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propósito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facilitar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proceso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enseñanza-aprendizaje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realizar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cosecha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vinífera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según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distintos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indicadores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madurez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CD5DED" w:rsidRDefault="00CD5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D5DED">
        <w:tc>
          <w:tcPr>
            <w:tcW w:w="1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ED" w:rsidRDefault="00213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Objetivo</w:t>
            </w:r>
            <w:proofErr w:type="spellEnd"/>
          </w:p>
        </w:tc>
      </w:tr>
      <w:tr w:rsidR="00CD5DED">
        <w:tc>
          <w:tcPr>
            <w:tcW w:w="1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ED" w:rsidRDefault="00CD5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D5DED" w:rsidRDefault="00213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Realizar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proyecto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relacionado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cosecha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transporta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según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índices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madurez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estándar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calidad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respectivamente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CD5DED" w:rsidRDefault="00CD5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</w:p>
        </w:tc>
      </w:tr>
    </w:tbl>
    <w:p w:rsidR="00CD5DED" w:rsidRDefault="00CD5D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:rsidR="00CD5DED" w:rsidRDefault="002131C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/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Actividad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: 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Laboratorio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de Enlace.</w:t>
      </w:r>
    </w:p>
    <w:tbl>
      <w:tblPr>
        <w:tblStyle w:val="a2"/>
        <w:tblW w:w="11150" w:type="dxa"/>
        <w:tblLayout w:type="fixed"/>
        <w:tblLook w:val="0400" w:firstRow="0" w:lastRow="0" w:firstColumn="0" w:lastColumn="0" w:noHBand="0" w:noVBand="1"/>
      </w:tblPr>
      <w:tblGrid>
        <w:gridCol w:w="11150"/>
      </w:tblGrid>
      <w:tr w:rsidR="00CD5DED">
        <w:tc>
          <w:tcPr>
            <w:tcW w:w="1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ED" w:rsidRDefault="00213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Instrucciones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para el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docente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  <w:p w:rsidR="00CD5DED" w:rsidRDefault="00CD5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D5DED" w:rsidRDefault="002131C0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Iniciar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retroalimentación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utilizando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lluvia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ideas con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preguntas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dirigidas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todos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estudiantes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 </w:t>
            </w:r>
          </w:p>
          <w:p w:rsidR="00CD5DED" w:rsidRDefault="002131C0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Diagnosticar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nivel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conocimiento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grupo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curso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relación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“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Recepción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acondiciona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uvas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empresa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de vinos,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según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Buenas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Práctica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Manufactura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(BPM)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”.</w:t>
            </w:r>
          </w:p>
          <w:p w:rsidR="00CD5DED" w:rsidRDefault="002131C0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Presentar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propuesta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trabajo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Aprendizaje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Basado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Proyecto (ABPRO)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relacionado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con “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Recepción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Molienda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vinífera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”</w:t>
            </w:r>
          </w:p>
          <w:p w:rsidR="00CD5DED" w:rsidRDefault="002131C0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Distribuir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Guías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trabajo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N°1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denominada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“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Recepción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Molienda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Vinífera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” 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grupos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studiantes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relacionado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con el Proyecto. </w:t>
            </w:r>
          </w:p>
          <w:p w:rsidR="00CD5DED" w:rsidRDefault="002131C0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Durante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desarrollo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actividad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recorrer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grupo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trabajo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para responder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dudas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CD5DED" w:rsidRDefault="002131C0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Indicar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grupos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estudiantes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deben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entregar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informe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del Proyecto.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según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establecido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Guías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trabajo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N°1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denominada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“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Recepción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Molienda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Vinífera</w:t>
            </w:r>
            <w:proofErr w:type="spellEnd"/>
          </w:p>
          <w:p w:rsidR="00CD5DED" w:rsidRDefault="002131C0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Evaluar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desempeño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grupo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durante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ejecución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actividad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además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aspectos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actitudinales</w:t>
            </w:r>
            <w:proofErr w:type="spellEnd"/>
          </w:p>
          <w:p w:rsidR="00CD5DED" w:rsidRDefault="002131C0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Al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finalizar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cada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clase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docente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realiza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retroalimentación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esta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  <w:p w:rsidR="00CD5DED" w:rsidRDefault="00CD5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ind w:left="36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D5DED" w:rsidRDefault="00213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Instrucciones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para el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estudiante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  <w:p w:rsidR="00CD5DED" w:rsidRDefault="002131C0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Escuchan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atentamente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instrucciones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tu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docente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respecto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trabajo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realizar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laboratorio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Enlace.</w:t>
            </w:r>
          </w:p>
          <w:p w:rsidR="00CD5DED" w:rsidRDefault="002131C0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Hacen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un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computador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laboratorio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enlace para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desarrollo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actividad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designada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CD5DED" w:rsidRDefault="002131C0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Generan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informe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proyecto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según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establecido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Guías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trabajo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N°1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denominada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“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Recepción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Molienda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Vinífera</w:t>
            </w:r>
            <w:proofErr w:type="spellEnd"/>
          </w:p>
          <w:p w:rsidR="00CD5DED" w:rsidRDefault="002131C0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Guardan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distintos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documentos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carpeta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personal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física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 digital, para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mantenerlos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apoyo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futuras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actividades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clases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CD5DED" w:rsidRDefault="002131C0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Plantean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genera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sugerencias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caso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tener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dudas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propuestas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mejorar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descripciones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producto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CD5DED" w:rsidRDefault="00CD5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ind w:left="7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D5DED" w:rsidRDefault="00CD5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CD5DED" w:rsidRDefault="00CD5D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</w:pPr>
    </w:p>
    <w:tbl>
      <w:tblPr>
        <w:tblStyle w:val="a3"/>
        <w:tblW w:w="11194" w:type="dxa"/>
        <w:tblLayout w:type="fixed"/>
        <w:tblLook w:val="0400" w:firstRow="0" w:lastRow="0" w:firstColumn="0" w:lastColumn="0" w:noHBand="0" w:noVBand="1"/>
      </w:tblPr>
      <w:tblGrid>
        <w:gridCol w:w="11194"/>
      </w:tblGrid>
      <w:tr w:rsidR="00CD5DED">
        <w:trPr>
          <w:trHeight w:val="5363"/>
        </w:trPr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ED" w:rsidRDefault="00213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Actividad</w:t>
            </w:r>
            <w:proofErr w:type="spellEnd"/>
          </w:p>
          <w:p w:rsidR="00CD5DED" w:rsidRDefault="00CD5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2"/>
                <w:szCs w:val="22"/>
              </w:rPr>
            </w:pPr>
          </w:p>
          <w:p w:rsidR="00CD5DED" w:rsidRDefault="00213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forman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grupos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2 a 3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estudiantes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quienes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deben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diseñar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proyecto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relacionado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con “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Recepción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Molienda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Vinífera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”. </w:t>
            </w:r>
          </w:p>
          <w:p w:rsidR="00CD5DED" w:rsidRDefault="00213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rol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del(la)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docente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facilitar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guiar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proceso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estudiantes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quienes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trabajan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forma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grupal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desarrollando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proyecto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y van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reuniéndose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con el(la)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docente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entregado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avances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calificados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CD5DED" w:rsidRDefault="00213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CD5DED" w:rsidRDefault="00CD5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CD5DED" w:rsidRDefault="00213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El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docente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debiera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desarrollar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lo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siguiente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  <w:p w:rsidR="00CD5DED" w:rsidRDefault="00CD5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D5DED" w:rsidRDefault="00213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Reunirse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grupos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estudiantes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explicar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qué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consistirá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proceso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evaluación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explicando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todas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etapas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partes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un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ABPro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entregando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instrucciones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pertinentes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CD5DED" w:rsidRDefault="00213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Cla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rificar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qué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productos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intermedios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finales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solicitarán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resultado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proyecto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para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evaluados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Los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productos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finales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pueden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informes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técnicos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maquetas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pósters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presentaciones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orales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producciones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audiovisuales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producciones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artísticas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 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tc. </w:t>
            </w:r>
          </w:p>
          <w:p w:rsidR="00CD5DED" w:rsidRDefault="00213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Discutir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distintos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grupos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posibles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fuentes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información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bibliografía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las que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pueden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acudir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complementar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conocimiento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diseñando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ejecutando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proyecto</w:t>
            </w:r>
            <w:proofErr w:type="spellEnd"/>
          </w:p>
          <w:p w:rsidR="00CD5DED" w:rsidRDefault="00213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Explicar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rúbrica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evaluación</w:t>
            </w:r>
            <w:proofErr w:type="spellEnd"/>
          </w:p>
          <w:p w:rsidR="00CD5DED" w:rsidRDefault="00CD5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D5DED" w:rsidRDefault="00213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Semanas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sucesivas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  <w:p w:rsidR="00CD5DED" w:rsidRDefault="00CD5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D5DED" w:rsidRDefault="00213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docen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asignará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semanas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sucesivas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planificación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revisión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avances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proyecto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CD5DED" w:rsidRDefault="00CD5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D5DED" w:rsidRDefault="00CD5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D5DED" w:rsidRDefault="00213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Partes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Aprendizaje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Basado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Proyecto. </w:t>
            </w:r>
          </w:p>
          <w:p w:rsidR="00CD5DED" w:rsidRDefault="00CD5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D5DED" w:rsidRDefault="00213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proyecto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tipo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ABPro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debiera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contener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menos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siguientes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secciones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  <w:p w:rsidR="00CD5DED" w:rsidRDefault="00CD5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D5DED" w:rsidRDefault="00CD5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D5DED" w:rsidRDefault="00CD5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D5DED" w:rsidRDefault="002131C0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Título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del Proyecto:</w:t>
            </w:r>
          </w:p>
          <w:p w:rsidR="00CD5DED" w:rsidRDefault="00CD5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CD5DED" w:rsidRDefault="00213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Indique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título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tentativo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proyecto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deben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desarrollar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estudiantes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CD5DED" w:rsidRDefault="00CD5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D5DED" w:rsidRDefault="00CD5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D5DED" w:rsidRDefault="002131C0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Diagnóstico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donde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se describe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problemática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principal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necesidad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otras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que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identifique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explica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qué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importante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abordarlas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y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indican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fuentes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biblio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gráficas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que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utilizarán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completar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proyecto</w:t>
            </w:r>
            <w:proofErr w:type="spellEnd"/>
          </w:p>
          <w:p w:rsidR="00CD5DED" w:rsidRDefault="00CD5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7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D5DED" w:rsidRDefault="002131C0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Diseño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propuesta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Se describe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público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objetivo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al que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orienta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proyecto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objetivos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general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específicos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mismo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y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proponen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distintas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acciones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actividades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permitirán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resolver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problema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principal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satisfacer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necesidad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observada</w:t>
            </w:r>
            <w:proofErr w:type="spellEnd"/>
          </w:p>
          <w:p w:rsidR="00CD5DED" w:rsidRDefault="00CD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CD5DED" w:rsidRDefault="002131C0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Planificación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se describe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mediante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carta Gantt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cuándo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desarrollarán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distintas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acciones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actividades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planteadas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lo largo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proyecto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desde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búsqueda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información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hasta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entrega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producto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final para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evaluado</w:t>
            </w:r>
            <w:proofErr w:type="spellEnd"/>
          </w:p>
          <w:p w:rsidR="00CD5DED" w:rsidRDefault="00CD5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D5DED" w:rsidRDefault="002131C0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Entrega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producto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final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para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evaluado</w:t>
            </w:r>
            <w:proofErr w:type="spellEnd"/>
          </w:p>
          <w:p w:rsidR="00CD5DED" w:rsidRDefault="00CD5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CD5DED" w:rsidRDefault="00213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7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Explicar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tipo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producto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final 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entregado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no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olvide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solicitar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estudiantes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productos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características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que le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permitan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evaluar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aspectos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técnicos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habilidades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blandas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comunicacionales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actitudinales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etc.),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también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sugiere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que l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solicite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reflexión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respecto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cómo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desarrolló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proceso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aprendizaje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obtienen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futuro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desempeño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profesional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</w:p>
          <w:p w:rsidR="00CD5DED" w:rsidRDefault="00213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:rsidR="00CD5DED" w:rsidRDefault="00CD5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360"/>
              <w:jc w:val="both"/>
            </w:pPr>
          </w:p>
        </w:tc>
      </w:tr>
    </w:tbl>
    <w:p w:rsidR="00CD5DED" w:rsidRDefault="00CD5D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>
    <w:p w:rsidR="00CD5DED" w:rsidRDefault="00CD5D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ind w:left="250" w:hanging="250"/>
        <w:jc w:val="both"/>
        <w:rPr>
          <w:color w:val="000000"/>
          <w:sz w:val="7"/>
          <w:szCs w:val="7"/>
        </w:rPr>
      </w:pPr>
    </w:p>
    <w:sectPr w:rsidR="00CD5DED">
      <w:headerReference w:type="default" r:id="rId8"/>
      <w:footerReference w:type="default" r:id="rId9"/>
      <w:pgSz w:w="12240" w:h="15840"/>
      <w:pgMar w:top="1133" w:right="600" w:bottom="1100" w:left="480" w:header="2" w:footer="9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1C0" w:rsidRDefault="002131C0">
      <w:r>
        <w:separator/>
      </w:r>
    </w:p>
  </w:endnote>
  <w:endnote w:type="continuationSeparator" w:id="0">
    <w:p w:rsidR="002131C0" w:rsidRDefault="0021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DED" w:rsidRDefault="002131C0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b/>
        <w:color w:val="000000"/>
        <w:sz w:val="22"/>
        <w:szCs w:val="22"/>
        <w:u w:val="single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114300</wp:posOffset>
          </wp:positionH>
          <wp:positionV relativeFrom="paragraph">
            <wp:posOffset>-105931</wp:posOffset>
          </wp:positionV>
          <wp:extent cx="904240" cy="75565"/>
          <wp:effectExtent l="0" t="0" r="0" b="0"/>
          <wp:wrapSquare wrapText="bothSides" distT="0" distB="0" distL="114300" distR="114300"/>
          <wp:docPr id="10737418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240" cy="75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1C0" w:rsidRDefault="002131C0">
      <w:r>
        <w:separator/>
      </w:r>
    </w:p>
  </w:footnote>
  <w:footnote w:type="continuationSeparator" w:id="0">
    <w:p w:rsidR="002131C0" w:rsidRDefault="00213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DED" w:rsidRDefault="002131C0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b/>
        <w:color w:val="000000"/>
        <w:sz w:val="22"/>
        <w:szCs w:val="22"/>
        <w:u w:val="single"/>
      </w:rPr>
    </w:pPr>
    <w:r>
      <w:rPr>
        <w:rFonts w:ascii="Arial" w:eastAsia="Arial" w:hAnsi="Arial" w:cs="Arial"/>
        <w:b/>
        <w:noProof/>
        <w:sz w:val="22"/>
        <w:szCs w:val="22"/>
        <w:u w:val="single"/>
        <w:lang w:val="es-CL" w:eastAsia="es-CL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538163</wp:posOffset>
          </wp:positionH>
          <wp:positionV relativeFrom="page">
            <wp:posOffset>200675</wp:posOffset>
          </wp:positionV>
          <wp:extent cx="671513" cy="376342"/>
          <wp:effectExtent l="0" t="0" r="0" b="0"/>
          <wp:wrapSquare wrapText="bothSides" distT="0" distB="0" distL="114300" distR="114300"/>
          <wp:docPr id="10737418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1513" cy="3763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165C"/>
    <w:multiLevelType w:val="multilevel"/>
    <w:tmpl w:val="0D76D9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5FD394A"/>
    <w:multiLevelType w:val="multilevel"/>
    <w:tmpl w:val="0254969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7C11843"/>
    <w:multiLevelType w:val="multilevel"/>
    <w:tmpl w:val="1020F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3AE32EC"/>
    <w:multiLevelType w:val="multilevel"/>
    <w:tmpl w:val="76366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CB22EFF"/>
    <w:multiLevelType w:val="multilevel"/>
    <w:tmpl w:val="64DCB4C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03A2A6F"/>
    <w:multiLevelType w:val="multilevel"/>
    <w:tmpl w:val="26F256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ED"/>
    <w:rsid w:val="002131C0"/>
    <w:rsid w:val="00626A30"/>
    <w:rsid w:val="00CD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7889"/>
  <w15:docId w15:val="{58200E26-C4EB-4D0D-8954-490259C1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pPr>
      <w:widowControl w:val="0"/>
    </w:pPr>
    <w:rPr>
      <w:rFonts w:ascii="Arial" w:hAnsi="Arial" w:cs="Arial Unicode MS"/>
      <w:b/>
      <w:bCs/>
      <w:color w:val="000000"/>
      <w:sz w:val="22"/>
      <w:szCs w:val="22"/>
      <w:u w:val="single" w:color="000000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BA609E"/>
    <w:pPr>
      <w:spacing w:before="100" w:beforeAutospacing="1" w:after="100" w:afterAutospacing="1"/>
    </w:pPr>
    <w:rPr>
      <w:lang w:val="es-CL" w:eastAsia="es-ES_tradnl"/>
    </w:rPr>
  </w:style>
  <w:style w:type="paragraph" w:styleId="Prrafodelista">
    <w:name w:val="List Paragraph"/>
    <w:basedOn w:val="Normal"/>
    <w:uiPriority w:val="34"/>
    <w:qFormat/>
    <w:rsid w:val="000D215A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5737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ZVXp9Ssihn3MCstFdD/H+CuIYw==">AMUW2mWvQekRtEZEvyuXJfMG3rhlzd3qpGsiLktJRtUNqgSLWAf383cC55GYHGWuS+0QxjRcPwPA/e08xVPxvrYxLTWY60a16YC3MzEpOGcKFM4bUMWKeBaOtDPSlu+ber3Ul+XPvupQG7hwu7VJzpGK1dweIe9LPkyyzZa7anCkrW956mxIBD3gKI9cjXltSX8ksb4jt9rx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PROYECTOSCFT3</cp:lastModifiedBy>
  <cp:revision>2</cp:revision>
  <dcterms:created xsi:type="dcterms:W3CDTF">2020-11-30T02:21:00Z</dcterms:created>
  <dcterms:modified xsi:type="dcterms:W3CDTF">2020-11-30T02:21:00Z</dcterms:modified>
</cp:coreProperties>
</file>