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5D395A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r w:rsidR="00804732">
              <w:rPr>
                <w:rFonts w:ascii="Arial" w:hAnsi="Arial" w:cs="Arial"/>
                <w:b/>
                <w:color w:val="404040" w:themeColor="text1" w:themeTint="BF"/>
                <w:sz w:val="24"/>
                <w:szCs w:val="24"/>
              </w:rPr>
              <w:t>2</w:t>
            </w:r>
          </w:p>
        </w:tc>
        <w:tc>
          <w:tcPr>
            <w:tcW w:w="6378" w:type="dxa"/>
          </w:tcPr>
          <w:p w14:paraId="039EF92B" w14:textId="124EC3E4"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4D07744" w14:textId="471DDF6F" w:rsidR="001860F1" w:rsidRPr="00CC56E4" w:rsidRDefault="00804732" w:rsidP="00A351AB">
            <w:pPr>
              <w:rPr>
                <w:rFonts w:ascii="Arial" w:hAnsi="Arial" w:cs="Arial"/>
                <w:b/>
                <w:bCs/>
                <w:color w:val="404040" w:themeColor="text1" w:themeTint="BF"/>
                <w:sz w:val="24"/>
                <w:szCs w:val="24"/>
                <w:lang w:val="es-ES"/>
              </w:rPr>
            </w:pPr>
            <w:r w:rsidRPr="00CC56E4">
              <w:rPr>
                <w:rFonts w:ascii="Arial" w:hAnsi="Arial" w:cs="Arial"/>
                <w:b/>
                <w:bCs/>
                <w:color w:val="404040" w:themeColor="text1" w:themeTint="BF"/>
                <w:sz w:val="24"/>
                <w:szCs w:val="24"/>
                <w:lang w:val="es-ES"/>
              </w:rPr>
              <w:t>Explicar, de manera concreta, pictórica y simbólica, la validez del teorema de Pitágoras y aplicar a la resolución de problemas geométricos y de la vida cotidiana, de manera manual y/o con software educativo.</w:t>
            </w:r>
          </w:p>
          <w:p w14:paraId="60117F3D" w14:textId="1A4B1FCE" w:rsidR="00CC56E4" w:rsidRDefault="00CC56E4" w:rsidP="00A351AB">
            <w:pPr>
              <w:rPr>
                <w:rFonts w:ascii="Arial" w:hAnsi="Arial" w:cs="Arial"/>
                <w:b/>
                <w:bCs/>
                <w:color w:val="404040" w:themeColor="text1" w:themeTint="BF"/>
                <w:sz w:val="24"/>
                <w:szCs w:val="24"/>
                <w:lang w:val="es-ES"/>
              </w:rPr>
            </w:pPr>
          </w:p>
          <w:p w14:paraId="4F0FD0BE" w14:textId="4D1418DE" w:rsidR="00CC56E4" w:rsidRPr="00FB2E5D" w:rsidRDefault="00297B52" w:rsidP="00A351AB">
            <w:pPr>
              <w:rPr>
                <w:rFonts w:ascii="Arial" w:hAnsi="Arial" w:cs="Arial"/>
                <w:b/>
                <w:bCs/>
                <w:color w:val="404040" w:themeColor="text1" w:themeTint="BF"/>
                <w:sz w:val="24"/>
                <w:szCs w:val="24"/>
                <w:lang w:val="es-ES"/>
              </w:rPr>
            </w:pPr>
            <w:r>
              <w:object w:dxaOrig="2595" w:dyaOrig="4560" w14:anchorId="12BBE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29.75pt;height:228pt" o:ole="">
                  <v:imagedata r:id="rId8" o:title=""/>
                </v:shape>
                <o:OLEObject Type="Embed" ProgID="PBrush" ShapeID="_x0000_i1119" DrawAspect="Content" ObjectID="_1653403188" r:id="rId9"/>
              </w:object>
            </w:r>
          </w:p>
          <w:p w14:paraId="72F86008" w14:textId="3D8910B6" w:rsidR="001860F1" w:rsidRPr="00FB2E5D" w:rsidRDefault="001860F1" w:rsidP="00A351AB">
            <w:pPr>
              <w:rPr>
                <w:rFonts w:ascii="Arial" w:hAnsi="Arial" w:cs="Arial"/>
                <w:b/>
                <w:bCs/>
                <w:color w:val="404040" w:themeColor="text1" w:themeTint="BF"/>
                <w:sz w:val="24"/>
                <w:szCs w:val="24"/>
                <w:lang w:val="es-ES"/>
              </w:rPr>
            </w:pPr>
          </w:p>
          <w:p w14:paraId="4E52EF0E" w14:textId="77777777" w:rsidR="001860F1" w:rsidRPr="00FB2E5D" w:rsidRDefault="001860F1" w:rsidP="00A351AB">
            <w:pPr>
              <w:rPr>
                <w:rFonts w:ascii="Arial" w:hAnsi="Arial" w:cs="Arial"/>
                <w:b/>
                <w:bCs/>
                <w:color w:val="404040" w:themeColor="text1" w:themeTint="BF"/>
                <w:sz w:val="24"/>
                <w:szCs w:val="24"/>
                <w:lang w:val="es-ES"/>
              </w:rPr>
            </w:pPr>
          </w:p>
          <w:p w14:paraId="1460A12D" w14:textId="6740209C" w:rsidR="003333FF" w:rsidRPr="00FB2E5D" w:rsidRDefault="003333FF" w:rsidP="00A351AB">
            <w:pPr>
              <w:rPr>
                <w:rFonts w:ascii="Arial" w:hAnsi="Arial" w:cs="Arial"/>
                <w:color w:val="404040" w:themeColor="text1" w:themeTint="BF"/>
                <w:sz w:val="24"/>
                <w:szCs w:val="24"/>
                <w:lang w:val="es-ES"/>
              </w:rPr>
            </w:pPr>
          </w:p>
          <w:p w14:paraId="4D783B63" w14:textId="77777777" w:rsidR="003333FF" w:rsidRPr="00FB2E5D" w:rsidRDefault="003333FF" w:rsidP="00A351AB">
            <w:pPr>
              <w:rPr>
                <w:rFonts w:ascii="Arial" w:hAnsi="Arial" w:cs="Arial"/>
                <w:color w:val="404040" w:themeColor="text1" w:themeTint="BF"/>
                <w:sz w:val="24"/>
                <w:szCs w:val="24"/>
                <w:lang w:val="es-ES"/>
              </w:rPr>
            </w:pPr>
          </w:p>
          <w:p w14:paraId="58E666EB" w14:textId="54287C77" w:rsidR="003333FF" w:rsidRPr="00FB2E5D" w:rsidRDefault="003333FF" w:rsidP="00A351AB">
            <w:pPr>
              <w:rPr>
                <w:rFonts w:ascii="Arial" w:hAnsi="Arial" w:cs="Arial"/>
                <w:color w:val="404040" w:themeColor="text1" w:themeTint="BF"/>
                <w:sz w:val="24"/>
                <w:szCs w:val="24"/>
                <w:lang w:val="es-ES"/>
              </w:rPr>
            </w:pPr>
          </w:p>
        </w:tc>
        <w:tc>
          <w:tcPr>
            <w:tcW w:w="6378" w:type="dxa"/>
          </w:tcPr>
          <w:p w14:paraId="22968B58" w14:textId="28F0773F" w:rsidR="008A234E" w:rsidRDefault="00297B52" w:rsidP="000B01C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004CC1" w:rsidRPr="00004CC1">
              <w:rPr>
                <w:rFonts w:ascii="Arial" w:hAnsi="Arial" w:cs="Arial"/>
                <w:b/>
                <w:bCs/>
                <w:color w:val="404040" w:themeColor="text1" w:themeTint="BF"/>
                <w:sz w:val="24"/>
                <w:szCs w:val="24"/>
                <w:lang w:val="es-ES"/>
              </w:rPr>
              <w:t>.</w:t>
            </w:r>
          </w:p>
          <w:p w14:paraId="723BC6BA" w14:textId="69CA99E5" w:rsidR="00DC1CF0" w:rsidRPr="00297B52" w:rsidRDefault="00297B52" w:rsidP="00297B52">
            <w:pPr>
              <w:rPr>
                <w:rFonts w:ascii="Arial" w:hAnsi="Arial" w:cs="Arial"/>
                <w:sz w:val="24"/>
                <w:szCs w:val="24"/>
              </w:rPr>
            </w:pPr>
            <w:r w:rsidRPr="00297B52">
              <w:rPr>
                <w:rFonts w:ascii="Arial" w:hAnsi="Arial" w:cs="Arial"/>
                <w:sz w:val="24"/>
                <w:szCs w:val="24"/>
              </w:rPr>
              <w:t>En el recuadro hay dos cuadrados de igual área. En el cuadrado al lado izquierdo hay dos cuadrados grises de distinto valor de área. En el cuadrado al lado derecho hay un solo cuadrado gris</w:t>
            </w:r>
            <w:r>
              <w:rPr>
                <w:rFonts w:ascii="Arial" w:hAnsi="Arial" w:cs="Arial"/>
                <w:sz w:val="24"/>
                <w:szCs w:val="24"/>
              </w:rPr>
              <w:t>.</w:t>
            </w:r>
          </w:p>
          <w:p w14:paraId="5AC3D2DE" w14:textId="77777777" w:rsidR="00DC1CF0" w:rsidRDefault="00297B52" w:rsidP="00DC1CF0">
            <w:r>
              <w:object w:dxaOrig="5820" w:dyaOrig="2715" w14:anchorId="7BB78588">
                <v:shape id="_x0000_i1120" type="#_x0000_t75" style="width:291pt;height:135.75pt" o:ole="">
                  <v:imagedata r:id="rId10" o:title=""/>
                </v:shape>
                <o:OLEObject Type="Embed" ProgID="PBrush" ShapeID="_x0000_i1120" DrawAspect="Content" ObjectID="_1653403189" r:id="rId11"/>
              </w:object>
            </w:r>
          </w:p>
          <w:p w14:paraId="0200AD3F" w14:textId="77777777" w:rsidR="00E06345" w:rsidRDefault="00E06345" w:rsidP="00DC1CF0">
            <w:pPr>
              <w:rPr>
                <w:rFonts w:ascii="Arial" w:hAnsi="Arial" w:cs="Arial"/>
                <w:color w:val="404040" w:themeColor="text1" w:themeTint="BF"/>
                <w:sz w:val="24"/>
                <w:szCs w:val="24"/>
                <w:lang w:val="es-ES"/>
              </w:rPr>
            </w:pPr>
            <w:r w:rsidRPr="00E06345">
              <w:rPr>
                <w:rFonts w:ascii="Arial" w:hAnsi="Arial" w:cs="Arial"/>
                <w:b/>
                <w:bCs/>
                <w:color w:val="404040" w:themeColor="text1" w:themeTint="BF"/>
                <w:sz w:val="24"/>
                <w:szCs w:val="24"/>
                <w:lang w:val="es-ES"/>
              </w:rPr>
              <w:t>&gt;</w:t>
            </w:r>
            <w:r w:rsidRPr="00E06345">
              <w:rPr>
                <w:rFonts w:ascii="Arial" w:hAnsi="Arial" w:cs="Arial"/>
                <w:color w:val="404040" w:themeColor="text1" w:themeTint="BF"/>
                <w:sz w:val="24"/>
                <w:szCs w:val="24"/>
                <w:lang w:val="es-ES"/>
              </w:rPr>
              <w:t xml:space="preserve"> Remplazan, dentro los cuadrados grises, el signo de interrogación por el término algebraico del área del cuadrado respectivo. </w:t>
            </w:r>
          </w:p>
          <w:p w14:paraId="5DC7CC9A" w14:textId="77777777" w:rsidR="00E06345" w:rsidRDefault="00E06345" w:rsidP="00DC1CF0">
            <w:pPr>
              <w:rPr>
                <w:rFonts w:ascii="Arial" w:hAnsi="Arial" w:cs="Arial"/>
                <w:color w:val="404040" w:themeColor="text1" w:themeTint="BF"/>
                <w:sz w:val="24"/>
                <w:szCs w:val="24"/>
                <w:lang w:val="es-ES"/>
              </w:rPr>
            </w:pPr>
            <w:r w:rsidRPr="00E06345">
              <w:rPr>
                <w:rFonts w:ascii="Arial" w:hAnsi="Arial" w:cs="Arial"/>
                <w:b/>
                <w:bCs/>
                <w:color w:val="404040" w:themeColor="text1" w:themeTint="BF"/>
                <w:sz w:val="24"/>
                <w:szCs w:val="24"/>
                <w:lang w:val="es-ES"/>
              </w:rPr>
              <w:t>&gt;</w:t>
            </w:r>
            <w:r w:rsidRPr="00E06345">
              <w:rPr>
                <w:rFonts w:ascii="Arial" w:hAnsi="Arial" w:cs="Arial"/>
                <w:color w:val="404040" w:themeColor="text1" w:themeTint="BF"/>
                <w:sz w:val="24"/>
                <w:szCs w:val="24"/>
                <w:lang w:val="es-ES"/>
              </w:rPr>
              <w:t xml:space="preserve"> ¿Por qué en el lado izquierdo los dos cuadrados grises juntos tienen el mismo valor del área que el valor del área del cuadrado gris en el lado derecho? </w:t>
            </w:r>
          </w:p>
          <w:p w14:paraId="2396790E" w14:textId="77777777" w:rsidR="00E06345" w:rsidRDefault="00E06345" w:rsidP="00DC1CF0">
            <w:pPr>
              <w:rPr>
                <w:rFonts w:ascii="Arial" w:hAnsi="Arial" w:cs="Arial"/>
                <w:color w:val="404040" w:themeColor="text1" w:themeTint="BF"/>
                <w:sz w:val="24"/>
                <w:szCs w:val="24"/>
                <w:lang w:val="es-ES"/>
              </w:rPr>
            </w:pPr>
            <w:r w:rsidRPr="00E06345">
              <w:rPr>
                <w:rFonts w:ascii="Arial" w:hAnsi="Arial" w:cs="Arial"/>
                <w:b/>
                <w:bCs/>
                <w:color w:val="404040" w:themeColor="text1" w:themeTint="BF"/>
                <w:sz w:val="24"/>
                <w:szCs w:val="24"/>
                <w:lang w:val="es-ES"/>
              </w:rPr>
              <w:t>&gt;</w:t>
            </w:r>
            <w:r w:rsidRPr="00E06345">
              <w:rPr>
                <w:rFonts w:ascii="Arial" w:hAnsi="Arial" w:cs="Arial"/>
                <w:color w:val="404040" w:themeColor="text1" w:themeTint="BF"/>
                <w:sz w:val="24"/>
                <w:szCs w:val="24"/>
                <w:lang w:val="es-ES"/>
              </w:rPr>
              <w:t xml:space="preserve"> Razonan y comunican la respuesta. </w:t>
            </w:r>
          </w:p>
          <w:p w14:paraId="5B238550" w14:textId="77777777" w:rsidR="00297B52" w:rsidRDefault="00E06345" w:rsidP="00DC1CF0">
            <w:pPr>
              <w:rPr>
                <w:rFonts w:ascii="Arial" w:hAnsi="Arial" w:cs="Arial"/>
                <w:color w:val="404040" w:themeColor="text1" w:themeTint="BF"/>
                <w:sz w:val="24"/>
                <w:szCs w:val="24"/>
                <w:lang w:val="es-ES"/>
              </w:rPr>
            </w:pPr>
            <w:r w:rsidRPr="00E06345">
              <w:rPr>
                <w:rFonts w:ascii="Arial" w:hAnsi="Arial" w:cs="Arial"/>
                <w:b/>
                <w:bCs/>
                <w:color w:val="404040" w:themeColor="text1" w:themeTint="BF"/>
                <w:sz w:val="24"/>
                <w:szCs w:val="24"/>
                <w:lang w:val="es-ES"/>
              </w:rPr>
              <w:t>&gt;</w:t>
            </w:r>
            <w:r w:rsidRPr="00E06345">
              <w:rPr>
                <w:rFonts w:ascii="Arial" w:hAnsi="Arial" w:cs="Arial"/>
                <w:color w:val="404040" w:themeColor="text1" w:themeTint="BF"/>
                <w:sz w:val="24"/>
                <w:szCs w:val="24"/>
                <w:lang w:val="es-ES"/>
              </w:rPr>
              <w:t xml:space="preserve"> Expresan el resultado simbólicamente con los términos algebraicos de las áreas</w:t>
            </w:r>
            <w:r>
              <w:rPr>
                <w:rFonts w:ascii="Arial" w:hAnsi="Arial" w:cs="Arial"/>
                <w:color w:val="404040" w:themeColor="text1" w:themeTint="BF"/>
                <w:sz w:val="24"/>
                <w:szCs w:val="24"/>
                <w:lang w:val="es-ES"/>
              </w:rPr>
              <w:t>.</w:t>
            </w:r>
          </w:p>
          <w:p w14:paraId="29497558" w14:textId="77777777" w:rsidR="00374FA2" w:rsidRDefault="00374FA2" w:rsidP="00DC1CF0">
            <w:pPr>
              <w:rPr>
                <w:rFonts w:ascii="Arial" w:hAnsi="Arial" w:cs="Arial"/>
                <w:color w:val="404040" w:themeColor="text1" w:themeTint="BF"/>
                <w:sz w:val="24"/>
                <w:szCs w:val="24"/>
                <w:lang w:val="es-ES"/>
              </w:rPr>
            </w:pPr>
          </w:p>
          <w:p w14:paraId="42557540" w14:textId="77777777" w:rsidR="00374FA2" w:rsidRDefault="00374FA2" w:rsidP="00DC1CF0">
            <w:pPr>
              <w:rPr>
                <w:rFonts w:ascii="Arial" w:hAnsi="Arial" w:cs="Arial"/>
                <w:color w:val="404040" w:themeColor="text1" w:themeTint="BF"/>
                <w:sz w:val="24"/>
                <w:szCs w:val="24"/>
                <w:lang w:val="es-ES"/>
              </w:rPr>
            </w:pPr>
          </w:p>
          <w:p w14:paraId="67391C23" w14:textId="77777777" w:rsidR="00374FA2" w:rsidRPr="00374FA2" w:rsidRDefault="00374FA2" w:rsidP="00374FA2">
            <w:pPr>
              <w:rPr>
                <w:rFonts w:ascii="Arial" w:hAnsi="Arial" w:cs="Arial"/>
                <w:b/>
                <w:bCs/>
                <w:i/>
                <w:iCs/>
                <w:color w:val="404040" w:themeColor="text1" w:themeTint="BF"/>
                <w:sz w:val="24"/>
                <w:szCs w:val="24"/>
                <w:lang w:val="es-ES"/>
              </w:rPr>
            </w:pPr>
            <w:r w:rsidRPr="00374FA2">
              <w:rPr>
                <w:rFonts w:ascii="Arial" w:hAnsi="Arial" w:cs="Arial"/>
                <w:b/>
                <w:bCs/>
                <w:i/>
                <w:iCs/>
                <w:color w:val="404040" w:themeColor="text1" w:themeTint="BF"/>
                <w:sz w:val="24"/>
                <w:szCs w:val="24"/>
                <w:lang w:val="es-ES"/>
              </w:rPr>
              <w:lastRenderedPageBreak/>
              <w:t>Observaciones al docente</w:t>
            </w:r>
          </w:p>
          <w:p w14:paraId="328ED64C" w14:textId="14F9630D" w:rsidR="00374FA2" w:rsidRPr="00B731D1" w:rsidRDefault="00374FA2" w:rsidP="00374FA2">
            <w:pPr>
              <w:rPr>
                <w:rFonts w:ascii="Arial" w:hAnsi="Arial" w:cs="Arial"/>
                <w:color w:val="404040" w:themeColor="text1" w:themeTint="BF"/>
                <w:sz w:val="24"/>
                <w:szCs w:val="24"/>
                <w:lang w:val="es-ES"/>
              </w:rPr>
            </w:pPr>
            <w:r w:rsidRPr="00374FA2">
              <w:rPr>
                <w:rFonts w:ascii="Arial" w:hAnsi="Arial" w:cs="Arial"/>
                <w:i/>
                <w:iCs/>
                <w:color w:val="404040" w:themeColor="text1" w:themeTint="BF"/>
                <w:sz w:val="24"/>
                <w:szCs w:val="24"/>
                <w:lang w:val="es-ES"/>
              </w:rPr>
              <w:t xml:space="preserve">Se sugiere fomentar el trabajo cooperativo. Los estudiantes aprenderán a compartir, obedecer y asumir responsabilidades, aceptar reglas y plazos en un trabajo sin supervisión. </w:t>
            </w:r>
            <w:r w:rsidRPr="00374FA2">
              <w:rPr>
                <w:rFonts w:ascii="Arial" w:hAnsi="Arial" w:cs="Arial"/>
                <w:b/>
                <w:bCs/>
                <w:i/>
                <w:iCs/>
                <w:color w:val="404040" w:themeColor="text1" w:themeTint="BF"/>
                <w:sz w:val="24"/>
                <w:szCs w:val="24"/>
                <w:lang w:val="es-ES"/>
              </w:rPr>
              <w:t>(OA 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D6E00" w14:textId="77777777" w:rsidR="009033A1" w:rsidRDefault="009033A1" w:rsidP="00B9327C">
      <w:pPr>
        <w:spacing w:after="0" w:line="240" w:lineRule="auto"/>
      </w:pPr>
      <w:r>
        <w:separator/>
      </w:r>
    </w:p>
  </w:endnote>
  <w:endnote w:type="continuationSeparator" w:id="0">
    <w:p w14:paraId="5981B513" w14:textId="77777777" w:rsidR="009033A1" w:rsidRDefault="009033A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68AC2" w14:textId="77777777" w:rsidR="009033A1" w:rsidRDefault="009033A1" w:rsidP="00B9327C">
      <w:pPr>
        <w:spacing w:after="0" w:line="240" w:lineRule="auto"/>
      </w:pPr>
      <w:r>
        <w:separator/>
      </w:r>
    </w:p>
  </w:footnote>
  <w:footnote w:type="continuationSeparator" w:id="0">
    <w:p w14:paraId="69953380" w14:textId="77777777" w:rsidR="009033A1" w:rsidRDefault="009033A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7B7CE56D"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w:t>
    </w:r>
    <w:r w:rsidR="00804732">
      <w:rPr>
        <w:rFonts w:ascii="Arial" w:hAnsi="Arial" w:cs="Arial"/>
        <w:b/>
        <w:color w:val="CC0099"/>
        <w:sz w:val="36"/>
        <w:szCs w:val="36"/>
      </w:rPr>
      <w:t>3</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4BB264D8" w:rsidR="00250813" w:rsidRDefault="00BD4910" w:rsidP="00250813">
    <w:pPr>
      <w:rPr>
        <w:rFonts w:ascii="Arial" w:hAnsi="Arial" w:cs="Arial"/>
        <w:b/>
        <w:color w:val="595959" w:themeColor="text1" w:themeTint="A6"/>
        <w:sz w:val="44"/>
        <w:szCs w:val="44"/>
      </w:rPr>
    </w:pPr>
    <w:r>
      <w:rPr>
        <w:rFonts w:ascii="Arial" w:hAnsi="Arial" w:cs="Arial"/>
        <w:b/>
        <w:color w:val="000000" w:themeColor="text1"/>
        <w:sz w:val="36"/>
        <w:szCs w:val="36"/>
      </w:rPr>
      <w:t xml:space="preserve">   </w:t>
    </w:r>
    <w:r w:rsidRPr="00BD4910">
      <w:rPr>
        <w:rFonts w:ascii="Arial" w:hAnsi="Arial" w:cs="Arial"/>
        <w:b/>
        <w:color w:val="000000" w:themeColor="text1"/>
        <w:sz w:val="36"/>
        <w:szCs w:val="36"/>
      </w:rPr>
      <w:t>Octavo básico</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Pr>
        <w:rFonts w:ascii="Arial" w:hAnsi="Arial" w:cs="Arial"/>
        <w:b/>
        <w:color w:val="CC0099"/>
        <w:sz w:val="36"/>
        <w:szCs w:val="36"/>
      </w:rPr>
      <w:t xml:space="preserve"> </w:t>
    </w:r>
    <w:r w:rsidR="00250813" w:rsidRPr="001860F1">
      <w:rPr>
        <w:rFonts w:ascii="Arial" w:hAnsi="Arial" w:cs="Arial"/>
        <w:b/>
        <w:color w:val="CC0099"/>
        <w:sz w:val="36"/>
        <w:szCs w:val="36"/>
      </w:rPr>
      <w:t>OA_</w:t>
    </w:r>
    <w:r w:rsidR="00004CC1">
      <w:rPr>
        <w:rFonts w:ascii="Arial" w:hAnsi="Arial" w:cs="Arial"/>
        <w:b/>
        <w:color w:val="CC0099"/>
        <w:sz w:val="36"/>
        <w:szCs w:val="36"/>
      </w:rPr>
      <w:t>1</w:t>
    </w:r>
    <w:r w:rsidR="00804732">
      <w:rPr>
        <w:rFonts w:ascii="Arial" w:hAnsi="Arial" w:cs="Arial"/>
        <w:b/>
        <w:color w:val="CC0099"/>
        <w:sz w:val="36"/>
        <w:szCs w:val="36"/>
      </w:rPr>
      <w:t>2</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2508D"/>
    <w:rsid w:val="000445E1"/>
    <w:rsid w:val="00072371"/>
    <w:rsid w:val="000733AA"/>
    <w:rsid w:val="000A128C"/>
    <w:rsid w:val="000A4E10"/>
    <w:rsid w:val="000B01CC"/>
    <w:rsid w:val="000B5032"/>
    <w:rsid w:val="000E2608"/>
    <w:rsid w:val="000E3DBB"/>
    <w:rsid w:val="00121723"/>
    <w:rsid w:val="0012621F"/>
    <w:rsid w:val="00143154"/>
    <w:rsid w:val="00147718"/>
    <w:rsid w:val="00150083"/>
    <w:rsid w:val="0018214F"/>
    <w:rsid w:val="001860F1"/>
    <w:rsid w:val="00186872"/>
    <w:rsid w:val="00196558"/>
    <w:rsid w:val="001B26C5"/>
    <w:rsid w:val="001C445C"/>
    <w:rsid w:val="001C69E5"/>
    <w:rsid w:val="001E206C"/>
    <w:rsid w:val="001E4799"/>
    <w:rsid w:val="00237A76"/>
    <w:rsid w:val="0024083A"/>
    <w:rsid w:val="00250813"/>
    <w:rsid w:val="00286FEE"/>
    <w:rsid w:val="00297B52"/>
    <w:rsid w:val="002A2FB0"/>
    <w:rsid w:val="002B5851"/>
    <w:rsid w:val="002D5133"/>
    <w:rsid w:val="002D701E"/>
    <w:rsid w:val="002F4B56"/>
    <w:rsid w:val="002F6233"/>
    <w:rsid w:val="00302115"/>
    <w:rsid w:val="00305B43"/>
    <w:rsid w:val="003333FF"/>
    <w:rsid w:val="0034460F"/>
    <w:rsid w:val="00360C52"/>
    <w:rsid w:val="0036610D"/>
    <w:rsid w:val="00367585"/>
    <w:rsid w:val="00374FA2"/>
    <w:rsid w:val="003B6D91"/>
    <w:rsid w:val="003E52A0"/>
    <w:rsid w:val="00401ED8"/>
    <w:rsid w:val="0041242E"/>
    <w:rsid w:val="00432FDB"/>
    <w:rsid w:val="00450482"/>
    <w:rsid w:val="004570FA"/>
    <w:rsid w:val="00477435"/>
    <w:rsid w:val="004A2353"/>
    <w:rsid w:val="0050481B"/>
    <w:rsid w:val="005052C4"/>
    <w:rsid w:val="005209F3"/>
    <w:rsid w:val="00533EE6"/>
    <w:rsid w:val="00543E4A"/>
    <w:rsid w:val="00547BA1"/>
    <w:rsid w:val="00571811"/>
    <w:rsid w:val="005A51FA"/>
    <w:rsid w:val="005F476E"/>
    <w:rsid w:val="00642158"/>
    <w:rsid w:val="00645B2E"/>
    <w:rsid w:val="006466D1"/>
    <w:rsid w:val="00650910"/>
    <w:rsid w:val="00650DA0"/>
    <w:rsid w:val="006A1E12"/>
    <w:rsid w:val="006B0655"/>
    <w:rsid w:val="006F1EDC"/>
    <w:rsid w:val="00710780"/>
    <w:rsid w:val="00711364"/>
    <w:rsid w:val="00723E57"/>
    <w:rsid w:val="00725A78"/>
    <w:rsid w:val="007602EC"/>
    <w:rsid w:val="007B0C3D"/>
    <w:rsid w:val="007D5872"/>
    <w:rsid w:val="007E1A41"/>
    <w:rsid w:val="007E39AF"/>
    <w:rsid w:val="00804732"/>
    <w:rsid w:val="008049F6"/>
    <w:rsid w:val="008174CC"/>
    <w:rsid w:val="00822C8C"/>
    <w:rsid w:val="008256D7"/>
    <w:rsid w:val="00880581"/>
    <w:rsid w:val="00883F54"/>
    <w:rsid w:val="008A234E"/>
    <w:rsid w:val="008A7B6C"/>
    <w:rsid w:val="008D519C"/>
    <w:rsid w:val="008E6C8A"/>
    <w:rsid w:val="009033A1"/>
    <w:rsid w:val="00943C22"/>
    <w:rsid w:val="00963FE9"/>
    <w:rsid w:val="00965D5A"/>
    <w:rsid w:val="009719A2"/>
    <w:rsid w:val="00986F03"/>
    <w:rsid w:val="009B2ED9"/>
    <w:rsid w:val="009C091C"/>
    <w:rsid w:val="009D6512"/>
    <w:rsid w:val="00A0067B"/>
    <w:rsid w:val="00A53D7E"/>
    <w:rsid w:val="00A60B04"/>
    <w:rsid w:val="00A65534"/>
    <w:rsid w:val="00A87257"/>
    <w:rsid w:val="00AC044E"/>
    <w:rsid w:val="00AC5FE5"/>
    <w:rsid w:val="00AD7C3B"/>
    <w:rsid w:val="00B227F5"/>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D4910"/>
    <w:rsid w:val="00BF0502"/>
    <w:rsid w:val="00BF0A01"/>
    <w:rsid w:val="00C01C5E"/>
    <w:rsid w:val="00C14BFD"/>
    <w:rsid w:val="00C1795C"/>
    <w:rsid w:val="00C775F8"/>
    <w:rsid w:val="00CC56E4"/>
    <w:rsid w:val="00CD77DA"/>
    <w:rsid w:val="00CE19CB"/>
    <w:rsid w:val="00D1183F"/>
    <w:rsid w:val="00D201C5"/>
    <w:rsid w:val="00D340AB"/>
    <w:rsid w:val="00D47C47"/>
    <w:rsid w:val="00D8337E"/>
    <w:rsid w:val="00D9224E"/>
    <w:rsid w:val="00D94287"/>
    <w:rsid w:val="00DC1CF0"/>
    <w:rsid w:val="00DD606F"/>
    <w:rsid w:val="00DE5E89"/>
    <w:rsid w:val="00DE7FAF"/>
    <w:rsid w:val="00E01F34"/>
    <w:rsid w:val="00E06345"/>
    <w:rsid w:val="00E41AB4"/>
    <w:rsid w:val="00E42F2A"/>
    <w:rsid w:val="00E801D4"/>
    <w:rsid w:val="00EC0FA1"/>
    <w:rsid w:val="00EE33E4"/>
    <w:rsid w:val="00EF1087"/>
    <w:rsid w:val="00F01745"/>
    <w:rsid w:val="00F100E7"/>
    <w:rsid w:val="00F10D84"/>
    <w:rsid w:val="00F139CB"/>
    <w:rsid w:val="00FB2E5D"/>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Pages>
  <Words>176</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89</cp:revision>
  <dcterms:created xsi:type="dcterms:W3CDTF">2020-05-14T12:41:00Z</dcterms:created>
  <dcterms:modified xsi:type="dcterms:W3CDTF">2020-06-11T21:53:00Z</dcterms:modified>
</cp:coreProperties>
</file>